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8B700A" w14:textId="77777777" w:rsidR="00C64B1B" w:rsidRDefault="00C64B1B" w:rsidP="00C64B1B">
      <w:pPr>
        <w:jc w:val="center"/>
      </w:pPr>
      <w:bookmarkStart w:id="0" w:name="_GoBack"/>
      <w:bookmarkEnd w:id="0"/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8"/>
        <w:gridCol w:w="1190"/>
        <w:gridCol w:w="1890"/>
        <w:gridCol w:w="3194"/>
        <w:gridCol w:w="3842"/>
        <w:gridCol w:w="3374"/>
      </w:tblGrid>
      <w:tr w:rsidR="008E50D1" w14:paraId="22426718" w14:textId="77777777" w:rsidTr="008E50D1">
        <w:trPr>
          <w:tblHeader/>
        </w:trPr>
        <w:tc>
          <w:tcPr>
            <w:tcW w:w="10844" w:type="dxa"/>
            <w:gridSpan w:val="5"/>
            <w:shd w:val="clear" w:color="auto" w:fill="auto"/>
            <w:vAlign w:val="center"/>
          </w:tcPr>
          <w:p w14:paraId="77560B0B" w14:textId="77777777" w:rsidR="008E50D1" w:rsidRPr="001A5B3D" w:rsidRDefault="008E50D1" w:rsidP="001A5B3D">
            <w:pPr>
              <w:spacing w:before="120" w:after="120"/>
              <w:rPr>
                <w:b/>
                <w:i/>
              </w:rPr>
            </w:pPr>
            <w:r w:rsidRPr="004D086F">
              <w:rPr>
                <w:b/>
                <w:i/>
              </w:rPr>
              <w:t>Nazwa dokumentu:</w:t>
            </w:r>
            <w:r w:rsidRPr="001A663E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hyperlink r:id="rId10" w:history="1">
              <w:r w:rsidRPr="001A663E">
                <w:rPr>
                  <w:rStyle w:val="Hipercze"/>
                  <w:b/>
                  <w:bCs/>
                  <w:i/>
                </w:rPr>
                <w:t>Rekomendacje dotyczące udzielania zamówień publicznych na dostawę zestawów komputerowych</w:t>
              </w:r>
            </w:hyperlink>
            <w:r w:rsidRPr="001A5B3D">
              <w:rPr>
                <w:b/>
                <w:bCs/>
                <w:i/>
              </w:rPr>
              <w:t xml:space="preserve"> </w:t>
            </w:r>
            <w:r w:rsidRPr="001A5B3D">
              <w:rPr>
                <w:b/>
                <w:i/>
              </w:rPr>
              <w:t xml:space="preserve">- wnioskodawca Urząd Zamówień Publicznych. </w:t>
            </w:r>
          </w:p>
          <w:p w14:paraId="3AF295EA" w14:textId="77777777" w:rsidR="008E50D1" w:rsidRPr="004D086F" w:rsidRDefault="008E50D1" w:rsidP="00B871B6">
            <w:pPr>
              <w:spacing w:before="120" w:after="120"/>
              <w:rPr>
                <w:b/>
                <w:i/>
              </w:rPr>
            </w:pPr>
          </w:p>
        </w:tc>
        <w:tc>
          <w:tcPr>
            <w:tcW w:w="3374" w:type="dxa"/>
          </w:tcPr>
          <w:p w14:paraId="076E01A9" w14:textId="77777777" w:rsidR="008E50D1" w:rsidRPr="004D086F" w:rsidRDefault="008E50D1" w:rsidP="001A5B3D">
            <w:pPr>
              <w:spacing w:before="120" w:after="120"/>
              <w:rPr>
                <w:b/>
                <w:i/>
              </w:rPr>
            </w:pPr>
          </w:p>
        </w:tc>
      </w:tr>
      <w:tr w:rsidR="008E50D1" w14:paraId="68563B64" w14:textId="77777777" w:rsidTr="008E50D1">
        <w:trPr>
          <w:tblHeader/>
        </w:trPr>
        <w:tc>
          <w:tcPr>
            <w:tcW w:w="728" w:type="dxa"/>
            <w:shd w:val="clear" w:color="auto" w:fill="auto"/>
            <w:vAlign w:val="center"/>
          </w:tcPr>
          <w:p w14:paraId="6879CE1F" w14:textId="77777777" w:rsidR="008E50D1" w:rsidRPr="004D086F" w:rsidRDefault="008E50D1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L.p.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3E56344" w14:textId="77777777" w:rsidR="008E50D1" w:rsidRPr="004D086F" w:rsidRDefault="008E50D1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Organ wnoszący uwagi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21DDFAD" w14:textId="77777777" w:rsidR="008E50D1" w:rsidRPr="004D086F" w:rsidRDefault="008E50D1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Jednostka redakcyjna, do której wnoszone są uwagi</w:t>
            </w:r>
          </w:p>
        </w:tc>
        <w:tc>
          <w:tcPr>
            <w:tcW w:w="3194" w:type="dxa"/>
            <w:shd w:val="clear" w:color="auto" w:fill="auto"/>
            <w:vAlign w:val="center"/>
          </w:tcPr>
          <w:p w14:paraId="3F1ABDA0" w14:textId="77777777" w:rsidR="008E50D1" w:rsidRPr="004D086F" w:rsidRDefault="008E50D1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Treść uwagi</w:t>
            </w:r>
          </w:p>
        </w:tc>
        <w:tc>
          <w:tcPr>
            <w:tcW w:w="3842" w:type="dxa"/>
            <w:shd w:val="clear" w:color="auto" w:fill="auto"/>
            <w:vAlign w:val="center"/>
          </w:tcPr>
          <w:p w14:paraId="7FE96B6D" w14:textId="77777777" w:rsidR="008E50D1" w:rsidRPr="004D086F" w:rsidRDefault="008E50D1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Propozycja zmian zapisu</w:t>
            </w:r>
          </w:p>
        </w:tc>
        <w:tc>
          <w:tcPr>
            <w:tcW w:w="3374" w:type="dxa"/>
            <w:vAlign w:val="center"/>
          </w:tcPr>
          <w:p w14:paraId="38CB3FAA" w14:textId="77777777" w:rsidR="008E50D1" w:rsidRPr="004D086F" w:rsidRDefault="008E50D1" w:rsidP="008E50D1">
            <w:pPr>
              <w:jc w:val="center"/>
              <w:rPr>
                <w:b/>
              </w:rPr>
            </w:pPr>
            <w:r>
              <w:rPr>
                <w:b/>
              </w:rPr>
              <w:t>Odniesienie się do uwag</w:t>
            </w:r>
          </w:p>
        </w:tc>
      </w:tr>
      <w:tr w:rsidR="008E50D1" w14:paraId="23E7F3D0" w14:textId="77777777" w:rsidTr="008E50D1">
        <w:tc>
          <w:tcPr>
            <w:tcW w:w="728" w:type="dxa"/>
            <w:shd w:val="clear" w:color="auto" w:fill="auto"/>
          </w:tcPr>
          <w:p w14:paraId="4F3154FA" w14:textId="77777777" w:rsidR="008E50D1" w:rsidRPr="004D086F" w:rsidRDefault="008E50D1" w:rsidP="00437E1C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190" w:type="dxa"/>
            <w:shd w:val="clear" w:color="auto" w:fill="auto"/>
          </w:tcPr>
          <w:p w14:paraId="3295D902" w14:textId="77777777" w:rsidR="008E50D1" w:rsidRPr="004D086F" w:rsidRDefault="008E50D1" w:rsidP="004D086F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MSWiA</w:t>
            </w:r>
          </w:p>
        </w:tc>
        <w:tc>
          <w:tcPr>
            <w:tcW w:w="1890" w:type="dxa"/>
            <w:shd w:val="clear" w:color="auto" w:fill="auto"/>
          </w:tcPr>
          <w:p w14:paraId="39B2E191" w14:textId="77777777" w:rsidR="008E50D1" w:rsidRDefault="008E50D1" w:rsidP="004D086F">
            <w:pPr>
              <w:jc w:val="center"/>
            </w:pPr>
            <w:r>
              <w:t>Pkt 1.3.</w:t>
            </w:r>
          </w:p>
          <w:p w14:paraId="1E84483A" w14:textId="77777777" w:rsidR="008E50D1" w:rsidRDefault="008E50D1" w:rsidP="004D086F">
            <w:pPr>
              <w:jc w:val="center"/>
            </w:pPr>
            <w:r>
              <w:t>Tabela 1, wiersz: Wymagania dodatkowe, str. 8</w:t>
            </w:r>
          </w:p>
        </w:tc>
        <w:tc>
          <w:tcPr>
            <w:tcW w:w="3194" w:type="dxa"/>
            <w:shd w:val="clear" w:color="auto" w:fill="auto"/>
          </w:tcPr>
          <w:p w14:paraId="53D396A9" w14:textId="77777777" w:rsidR="008E50D1" w:rsidRDefault="008E50D1" w:rsidP="00A12FA7">
            <w:r>
              <w:t>Dodanie dodatkowej pozycji dotyczącej dedykowanej partycji odzyskiwania systemu tzw. partycji  „Recovery”</w:t>
            </w:r>
          </w:p>
        </w:tc>
        <w:tc>
          <w:tcPr>
            <w:tcW w:w="3842" w:type="dxa"/>
            <w:shd w:val="clear" w:color="auto" w:fill="auto"/>
          </w:tcPr>
          <w:p w14:paraId="7747B712" w14:textId="77777777" w:rsidR="008E50D1" w:rsidRDefault="008E50D1" w:rsidP="00A12FA7">
            <w:r>
              <w:t>„Posiada dedykowaną</w:t>
            </w:r>
            <w:r w:rsidRPr="00307860">
              <w:t xml:space="preserve"> partycję „RECOVERY” umożliwiającą odtworzenie systemu operacyjnego fabrycznie zainstalowanego na komputerze po awarii. W przypadku braku partycji „RECOVERY” do komputera wymagany jest nośnik zewnętrzny umożliwiający odtworzenie systemu operacyjnego fabrycznie zainstal</w:t>
            </w:r>
            <w:r>
              <w:t>owanego na komputerze po awarii”.</w:t>
            </w:r>
          </w:p>
        </w:tc>
        <w:tc>
          <w:tcPr>
            <w:tcW w:w="3374" w:type="dxa"/>
          </w:tcPr>
          <w:p w14:paraId="482E892C" w14:textId="40271794" w:rsidR="00646073" w:rsidRDefault="00646073" w:rsidP="008E50D1">
            <w:r w:rsidRPr="00646073">
              <w:t xml:space="preserve">Uwaga zostanie </w:t>
            </w:r>
            <w:r>
              <w:t xml:space="preserve">uwzględniona w całości – </w:t>
            </w:r>
            <w:r w:rsidRPr="00646073">
              <w:t xml:space="preserve">zostanie </w:t>
            </w:r>
            <w:r>
              <w:t xml:space="preserve">dodana pozycja </w:t>
            </w:r>
            <w:r w:rsidRPr="00646073">
              <w:t>zgodnie z propozycją MSWiA</w:t>
            </w:r>
            <w:r>
              <w:t>. Proponujemy dodanie na końcu propozycji MSWiA zwrotu: „</w:t>
            </w:r>
            <w:r w:rsidRPr="004803D8">
              <w:rPr>
                <w:i/>
              </w:rPr>
              <w:t>lub oprogramowanie producenta komputera umożliwiające utworzenie takiego nośnika</w:t>
            </w:r>
            <w:r>
              <w:t>”.</w:t>
            </w:r>
          </w:p>
          <w:p w14:paraId="6F4047FF" w14:textId="6A52FE1E" w:rsidR="002B3F25" w:rsidRDefault="00646073" w:rsidP="008E50D1">
            <w:r w:rsidRPr="00646073">
              <w:t xml:space="preserve"> </w:t>
            </w:r>
          </w:p>
          <w:p w14:paraId="15471A0A" w14:textId="68891D92" w:rsidR="008E50D1" w:rsidRPr="002B3F25" w:rsidRDefault="002B3F25" w:rsidP="008E50D1">
            <w:pPr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  <w:p w14:paraId="63BEA5B5" w14:textId="070FD0B2" w:rsidR="00FE6385" w:rsidRPr="002B3F25" w:rsidRDefault="00FE6385" w:rsidP="008E50D1">
            <w:pPr>
              <w:rPr>
                <w:color w:val="FF0000"/>
              </w:rPr>
            </w:pPr>
          </w:p>
        </w:tc>
      </w:tr>
      <w:tr w:rsidR="008E50D1" w14:paraId="33E45559" w14:textId="77777777" w:rsidTr="008E50D1">
        <w:tc>
          <w:tcPr>
            <w:tcW w:w="728" w:type="dxa"/>
            <w:shd w:val="clear" w:color="auto" w:fill="auto"/>
          </w:tcPr>
          <w:p w14:paraId="14812AFD" w14:textId="77777777" w:rsidR="008E50D1" w:rsidRPr="004D086F" w:rsidRDefault="008E50D1" w:rsidP="00437E1C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190" w:type="dxa"/>
            <w:shd w:val="clear" w:color="auto" w:fill="auto"/>
          </w:tcPr>
          <w:p w14:paraId="3A5AD6C5" w14:textId="77777777" w:rsidR="008E50D1" w:rsidRPr="004D086F" w:rsidRDefault="008E50D1" w:rsidP="004D086F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MSWiA</w:t>
            </w:r>
          </w:p>
        </w:tc>
        <w:tc>
          <w:tcPr>
            <w:tcW w:w="1890" w:type="dxa"/>
            <w:shd w:val="clear" w:color="auto" w:fill="auto"/>
          </w:tcPr>
          <w:p w14:paraId="49EE1982" w14:textId="77777777" w:rsidR="008E50D1" w:rsidRDefault="008E50D1" w:rsidP="004D086F">
            <w:pPr>
              <w:jc w:val="center"/>
            </w:pPr>
            <w:r>
              <w:t>Pkt 1.3.</w:t>
            </w:r>
          </w:p>
          <w:p w14:paraId="4E55772D" w14:textId="77777777" w:rsidR="008E50D1" w:rsidRDefault="008E50D1" w:rsidP="00456AFD">
            <w:pPr>
              <w:jc w:val="center"/>
            </w:pPr>
            <w:r>
              <w:t xml:space="preserve">Tabela 1, wiesz: Wymagania </w:t>
            </w:r>
            <w:r w:rsidRPr="00307860">
              <w:t>dodatkowe</w:t>
            </w:r>
            <w:r>
              <w:t>, str. 8</w:t>
            </w:r>
          </w:p>
          <w:p w14:paraId="3FC9E937" w14:textId="77777777" w:rsidR="008E50D1" w:rsidRDefault="008E50D1" w:rsidP="004D086F">
            <w:pPr>
              <w:jc w:val="center"/>
            </w:pPr>
          </w:p>
        </w:tc>
        <w:tc>
          <w:tcPr>
            <w:tcW w:w="3194" w:type="dxa"/>
            <w:shd w:val="clear" w:color="auto" w:fill="auto"/>
          </w:tcPr>
          <w:p w14:paraId="4004C416" w14:textId="77777777" w:rsidR="008E50D1" w:rsidRDefault="008E50D1" w:rsidP="00A12FA7">
            <w:r>
              <w:t>Dodanie nowych pozycji</w:t>
            </w:r>
          </w:p>
        </w:tc>
        <w:tc>
          <w:tcPr>
            <w:tcW w:w="3842" w:type="dxa"/>
            <w:shd w:val="clear" w:color="auto" w:fill="auto"/>
          </w:tcPr>
          <w:p w14:paraId="11E3696B" w14:textId="77777777" w:rsidR="008E50D1" w:rsidRDefault="008E50D1" w:rsidP="00A12FA7">
            <w:pPr>
              <w:numPr>
                <w:ilvl w:val="0"/>
                <w:numId w:val="1"/>
              </w:numPr>
            </w:pPr>
            <w:r>
              <w:t>Czytnik linii papilarnych</w:t>
            </w:r>
          </w:p>
          <w:p w14:paraId="5C4FF726" w14:textId="77777777" w:rsidR="008E50D1" w:rsidRDefault="008E50D1" w:rsidP="00A12FA7">
            <w:pPr>
              <w:numPr>
                <w:ilvl w:val="0"/>
                <w:numId w:val="1"/>
              </w:numPr>
            </w:pPr>
            <w:r>
              <w:t>Czytnik kart inteligentnych/stykowych</w:t>
            </w:r>
          </w:p>
        </w:tc>
        <w:tc>
          <w:tcPr>
            <w:tcW w:w="3374" w:type="dxa"/>
          </w:tcPr>
          <w:p w14:paraId="02C95F60" w14:textId="613AEC0E" w:rsidR="008E50D1" w:rsidRDefault="004D57B1" w:rsidP="008E50D1">
            <w:r>
              <w:t xml:space="preserve">Stosowny zapis dotyczący możliwości uwzględnienia czytnika linii papilarnych oraz czytnika kart inteligentnych znajduje się już w Rekomendacjach – w punkcie nr 7 – Bezpieczeństwo </w:t>
            </w:r>
            <w:r w:rsidR="008E50D1">
              <w:t xml:space="preserve"> </w:t>
            </w:r>
            <w:r>
              <w:t>urządzeń</w:t>
            </w:r>
          </w:p>
          <w:p w14:paraId="2C7EC1E2" w14:textId="77777777" w:rsidR="004D57B1" w:rsidRDefault="004D57B1" w:rsidP="008E50D1"/>
          <w:p w14:paraId="025C8EF1" w14:textId="495FD90D" w:rsidR="00FE6385" w:rsidRDefault="00FE6385" w:rsidP="008E50D1"/>
        </w:tc>
      </w:tr>
      <w:tr w:rsidR="008E50D1" w14:paraId="048C200C" w14:textId="77777777" w:rsidTr="008E50D1">
        <w:tc>
          <w:tcPr>
            <w:tcW w:w="728" w:type="dxa"/>
            <w:shd w:val="clear" w:color="auto" w:fill="auto"/>
          </w:tcPr>
          <w:p w14:paraId="59AAFEBC" w14:textId="77777777" w:rsidR="008E50D1" w:rsidRPr="004D086F" w:rsidRDefault="008E50D1" w:rsidP="00437E1C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190" w:type="dxa"/>
            <w:shd w:val="clear" w:color="auto" w:fill="auto"/>
          </w:tcPr>
          <w:p w14:paraId="0FFB4878" w14:textId="77777777" w:rsidR="008E50D1" w:rsidRPr="004D086F" w:rsidRDefault="008E50D1" w:rsidP="004D086F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MSWiA</w:t>
            </w:r>
          </w:p>
        </w:tc>
        <w:tc>
          <w:tcPr>
            <w:tcW w:w="1890" w:type="dxa"/>
            <w:shd w:val="clear" w:color="auto" w:fill="auto"/>
          </w:tcPr>
          <w:p w14:paraId="3617D2B9" w14:textId="77777777" w:rsidR="008E50D1" w:rsidRDefault="008E50D1" w:rsidP="004D086F">
            <w:pPr>
              <w:jc w:val="center"/>
            </w:pPr>
            <w:r>
              <w:t>Pkt  1.3.</w:t>
            </w:r>
          </w:p>
          <w:p w14:paraId="4AFBE6B6" w14:textId="77777777" w:rsidR="008E50D1" w:rsidRDefault="008E50D1" w:rsidP="00456AFD">
            <w:pPr>
              <w:jc w:val="center"/>
            </w:pPr>
            <w:r>
              <w:t xml:space="preserve">Tabela 1, wiersz: </w:t>
            </w:r>
            <w:r w:rsidRPr="00000ACA">
              <w:t>Wymagania dodatkowe</w:t>
            </w:r>
            <w:r>
              <w:t>, str. 8</w:t>
            </w:r>
          </w:p>
        </w:tc>
        <w:tc>
          <w:tcPr>
            <w:tcW w:w="3194" w:type="dxa"/>
            <w:shd w:val="clear" w:color="auto" w:fill="auto"/>
          </w:tcPr>
          <w:p w14:paraId="3CCEB659" w14:textId="77777777" w:rsidR="008E50D1" w:rsidRDefault="008E50D1" w:rsidP="00A12FA7">
            <w:r>
              <w:t>Dodanie pozycji dotyczącej mocy oraz sprawności elektrycznej zasilacza</w:t>
            </w:r>
          </w:p>
        </w:tc>
        <w:tc>
          <w:tcPr>
            <w:tcW w:w="3842" w:type="dxa"/>
            <w:shd w:val="clear" w:color="auto" w:fill="auto"/>
          </w:tcPr>
          <w:p w14:paraId="61365331" w14:textId="77777777" w:rsidR="008E50D1" w:rsidRDefault="008E50D1" w:rsidP="00A12FA7">
            <w:pPr>
              <w:numPr>
                <w:ilvl w:val="0"/>
                <w:numId w:val="2"/>
              </w:numPr>
            </w:pPr>
            <w:r>
              <w:t>„Zasilacz zapewniający  sprawne działanie całej jednostki komputerowej o mocy minimum …W, osiągający sprawność minimum …% (85%, 88%, 90%, 92%, 94%, 96%) przy obciążeniu 50%.</w:t>
            </w:r>
          </w:p>
          <w:p w14:paraId="7C2256FD" w14:textId="77777777" w:rsidR="008E50D1" w:rsidRDefault="008E50D1" w:rsidP="00A12FA7">
            <w:pPr>
              <w:ind w:left="708"/>
            </w:pPr>
            <w:r>
              <w:t xml:space="preserve">Wykonawca załączy do oferty oświadczenia producenta zasilacza lub dokument potwierdzający spełnienie wymogu.” </w:t>
            </w:r>
          </w:p>
        </w:tc>
        <w:tc>
          <w:tcPr>
            <w:tcW w:w="3374" w:type="dxa"/>
          </w:tcPr>
          <w:p w14:paraId="31D0EDE4" w14:textId="588AC84B" w:rsidR="008E50D1" w:rsidRDefault="008E50D1" w:rsidP="008E50D1">
            <w:r>
              <w:t>Dokument nie ma charakteru zamkniętego. Ideą rekomendacji jest wskazanie pewnych ogólnych rozwiązań, przy jednoczesnym podkreśleniu, że w razie specjalistycznych potrzeb danego użytkownika, możliwe jest dokonanie modyfikacji odpowiadającej na konkretne potrzeby.</w:t>
            </w:r>
            <w:r w:rsidR="004D57B1">
              <w:t xml:space="preserve"> Ponadto sprawność zasilacza nie wskazuje na faktyczny pobór energii elektrycznej bez dodatkowych informacji dotyczących parametrów elektrycznych zasilacza. Dlatego też uwaga nie może zostać uwzględniona. </w:t>
            </w:r>
          </w:p>
          <w:p w14:paraId="37096F20" w14:textId="77777777" w:rsidR="004D57B1" w:rsidRDefault="004D57B1" w:rsidP="008E50D1"/>
          <w:p w14:paraId="4C702018" w14:textId="1BF46FED" w:rsidR="00B6363B" w:rsidRDefault="00B6363B" w:rsidP="008E50D1"/>
        </w:tc>
      </w:tr>
      <w:tr w:rsidR="008E50D1" w14:paraId="5FD3ABF7" w14:textId="77777777" w:rsidTr="008E50D1">
        <w:tc>
          <w:tcPr>
            <w:tcW w:w="728" w:type="dxa"/>
            <w:shd w:val="clear" w:color="auto" w:fill="auto"/>
          </w:tcPr>
          <w:p w14:paraId="0EB63259" w14:textId="77777777" w:rsidR="008E50D1" w:rsidRPr="004D086F" w:rsidRDefault="008E50D1" w:rsidP="00437E1C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190" w:type="dxa"/>
            <w:shd w:val="clear" w:color="auto" w:fill="auto"/>
          </w:tcPr>
          <w:p w14:paraId="7EB62678" w14:textId="77777777" w:rsidR="008E50D1" w:rsidRPr="004D086F" w:rsidRDefault="008E50D1" w:rsidP="004D086F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MSWiA</w:t>
            </w:r>
          </w:p>
        </w:tc>
        <w:tc>
          <w:tcPr>
            <w:tcW w:w="1890" w:type="dxa"/>
            <w:shd w:val="clear" w:color="auto" w:fill="auto"/>
          </w:tcPr>
          <w:p w14:paraId="2CEEB4E4" w14:textId="77777777" w:rsidR="008E50D1" w:rsidRDefault="008E50D1" w:rsidP="004D086F">
            <w:pPr>
              <w:jc w:val="center"/>
            </w:pPr>
            <w:r>
              <w:t>Pkt 2.1.2. Procesor, str. 18</w:t>
            </w:r>
          </w:p>
        </w:tc>
        <w:tc>
          <w:tcPr>
            <w:tcW w:w="3194" w:type="dxa"/>
            <w:shd w:val="clear" w:color="auto" w:fill="auto"/>
          </w:tcPr>
          <w:p w14:paraId="5C9E6CDD" w14:textId="77777777" w:rsidR="008E50D1" w:rsidRDefault="008E50D1" w:rsidP="00A12FA7">
            <w:r>
              <w:t>Ppkt :”Zgodnie z prawem Amdahla…” -opinia o tym iż „</w:t>
            </w:r>
            <w:r w:rsidRPr="00F57DA3">
              <w:t xml:space="preserve">Specyfikacja wymagająca procesora o maksymalnej </w:t>
            </w:r>
            <w:r w:rsidRPr="00F57DA3">
              <w:lastRenderedPageBreak/>
              <w:t>liczbie jednocześnie wykonywanych wątków &gt;=8 wskazuje pośrednio na produkt jednej firmy</w:t>
            </w:r>
            <w:r>
              <w:t xml:space="preserve">” wydaje się być nieuzasadniona. Każdy producent wymaganie dotyczące wielowątkowości (określonej liczby wątków wykonywanych jednocześnie przez procesor) procesora może zrealizować na dwa sposoby- poprzez zastosowania technologii pozwalającej na podwojenie ilości wykonywanych wątków poprzez jeden rdzeń fizyczny lub poprzez zapewnienie wystarczającej liczby fizycznych rdzeni. Dodatkowym argumentem przeczącym zapisom w tym ppkt jest fakt,  iż technologie podwajania liczby wątków w stosunku do liczby fizycznych </w:t>
            </w:r>
            <w:r>
              <w:lastRenderedPageBreak/>
              <w:t>rdzeni są obecnie stosowane przez co najmniej 2 wiodących producentów procesorów: Intel (HT- Hyper Threading) oraz AMD (SMT- Simultaneous Multi-Threading)</w:t>
            </w:r>
          </w:p>
          <w:p w14:paraId="44C3328D" w14:textId="77777777" w:rsidR="008E50D1" w:rsidRDefault="008E50D1" w:rsidP="00A12FA7"/>
        </w:tc>
        <w:tc>
          <w:tcPr>
            <w:tcW w:w="3842" w:type="dxa"/>
            <w:shd w:val="clear" w:color="auto" w:fill="auto"/>
          </w:tcPr>
          <w:p w14:paraId="0F772404" w14:textId="77777777" w:rsidR="008E50D1" w:rsidRDefault="008E50D1" w:rsidP="00A12FA7">
            <w:r>
              <w:lastRenderedPageBreak/>
              <w:t>Usunięcie ppkt: „</w:t>
            </w:r>
            <w:r w:rsidRPr="00371F8B">
              <w:t>Zgodnie z prawem Amdahla…”</w:t>
            </w:r>
          </w:p>
        </w:tc>
        <w:tc>
          <w:tcPr>
            <w:tcW w:w="3374" w:type="dxa"/>
          </w:tcPr>
          <w:p w14:paraId="0E2715FB" w14:textId="292A798C" w:rsidR="004D57B1" w:rsidRPr="004D57B1" w:rsidRDefault="004D57B1" w:rsidP="00A12FA7">
            <w:r w:rsidRPr="004D57B1">
              <w:t xml:space="preserve">Akapit opisuje mechanizm wykluczenia wykonawcy poprzez wymaganie konkretnej liczby rdzeni, co jest </w:t>
            </w:r>
            <w:r w:rsidRPr="004D57B1">
              <w:lastRenderedPageBreak/>
              <w:t xml:space="preserve">nieuzasadnione w przypadku komputerów biurowych. Tak jak zostało wskazane wcześniej, Rekomendacje nie mają charakteru zamkniętego i służą jedynie przedstawieniu standardowych rozwiązań z zastrzeżeniem możliwości rozszerzenia w razie specjalistycznych potrzeb konkretnych użytkowników. </w:t>
            </w:r>
          </w:p>
          <w:p w14:paraId="19D08BCA" w14:textId="77777777" w:rsidR="004D57B1" w:rsidRDefault="004D57B1" w:rsidP="00A12FA7">
            <w:pPr>
              <w:rPr>
                <w:color w:val="FF0000"/>
              </w:rPr>
            </w:pPr>
          </w:p>
          <w:p w14:paraId="68AD6A4B" w14:textId="7CD46585" w:rsidR="008E50D1" w:rsidRDefault="008E50D1" w:rsidP="00A12FA7"/>
        </w:tc>
      </w:tr>
      <w:tr w:rsidR="008E50D1" w14:paraId="1CAD2085" w14:textId="77777777" w:rsidTr="008E50D1">
        <w:tc>
          <w:tcPr>
            <w:tcW w:w="728" w:type="dxa"/>
            <w:shd w:val="clear" w:color="auto" w:fill="auto"/>
          </w:tcPr>
          <w:p w14:paraId="56791213" w14:textId="77777777" w:rsidR="008E50D1" w:rsidRPr="004D086F" w:rsidRDefault="008E50D1" w:rsidP="00437E1C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190" w:type="dxa"/>
            <w:shd w:val="clear" w:color="auto" w:fill="auto"/>
          </w:tcPr>
          <w:p w14:paraId="7DB73997" w14:textId="77777777" w:rsidR="008E50D1" w:rsidRPr="004D086F" w:rsidRDefault="008E50D1" w:rsidP="004D086F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MSWiA</w:t>
            </w:r>
          </w:p>
        </w:tc>
        <w:tc>
          <w:tcPr>
            <w:tcW w:w="1890" w:type="dxa"/>
            <w:shd w:val="clear" w:color="auto" w:fill="auto"/>
          </w:tcPr>
          <w:p w14:paraId="79295C20" w14:textId="77777777" w:rsidR="008E50D1" w:rsidRDefault="008E50D1" w:rsidP="00720EAF">
            <w:pPr>
              <w:jc w:val="center"/>
            </w:pPr>
            <w:r>
              <w:t>Pkt 2.5. Dysk twardy, str. 20</w:t>
            </w:r>
          </w:p>
        </w:tc>
        <w:tc>
          <w:tcPr>
            <w:tcW w:w="3194" w:type="dxa"/>
            <w:shd w:val="clear" w:color="auto" w:fill="auto"/>
          </w:tcPr>
          <w:p w14:paraId="42C024A5" w14:textId="77777777" w:rsidR="008E50D1" w:rsidRDefault="008E50D1" w:rsidP="00A12FA7">
            <w:r>
              <w:t>„</w:t>
            </w:r>
            <w:r w:rsidRPr="00720EAF">
              <w:t>Na rynku dostępne są obecnie dwa rodzaje dysków ze względu na technologię przechowywania danych: talerzowe i półprzewodnikowe.</w:t>
            </w:r>
            <w:r>
              <w:t>”- na rynku są dostępne również dyski hybrydowe SSHD</w:t>
            </w:r>
          </w:p>
          <w:p w14:paraId="604AB2DE" w14:textId="77777777" w:rsidR="008E50D1" w:rsidRDefault="008E50D1" w:rsidP="00A12FA7"/>
        </w:tc>
        <w:tc>
          <w:tcPr>
            <w:tcW w:w="3842" w:type="dxa"/>
            <w:shd w:val="clear" w:color="auto" w:fill="auto"/>
          </w:tcPr>
          <w:p w14:paraId="2CBCE230" w14:textId="77777777" w:rsidR="008E50D1" w:rsidRDefault="008E50D1" w:rsidP="00A12FA7">
            <w:r>
              <w:t>„</w:t>
            </w:r>
            <w:r w:rsidRPr="00720EAF">
              <w:t xml:space="preserve">Na rynku dostępne są obecnie </w:t>
            </w:r>
            <w:r>
              <w:t>trzy</w:t>
            </w:r>
            <w:r w:rsidRPr="00720EAF">
              <w:t xml:space="preserve"> rodzaje dysków ze względu na technologię przechowywania danych:</w:t>
            </w:r>
            <w:r>
              <w:t xml:space="preserve"> talerzowe, </w:t>
            </w:r>
            <w:r w:rsidRPr="00720EAF">
              <w:t>półprzewodnikowe</w:t>
            </w:r>
            <w:r>
              <w:t xml:space="preserve"> oraz hybrydowe (łączące w jednej obudowie tradycyjny nośnik talerzowy oraz podręczną pamięć półprzewodnikową</w:t>
            </w:r>
            <w:r w:rsidRPr="00720EAF">
              <w:t>.</w:t>
            </w:r>
            <w:r>
              <w:t>)</w:t>
            </w:r>
            <w:r w:rsidRPr="00720EAF">
              <w:t>”</w:t>
            </w:r>
          </w:p>
        </w:tc>
        <w:tc>
          <w:tcPr>
            <w:tcW w:w="3374" w:type="dxa"/>
          </w:tcPr>
          <w:p w14:paraId="77E53087" w14:textId="0E252C3A" w:rsidR="008E50D1" w:rsidRDefault="00537D0E" w:rsidP="00A12FA7">
            <w:r>
              <w:t>Uwaga zostanie uwzględniona</w:t>
            </w:r>
            <w:r w:rsidR="004D57B1">
              <w:t xml:space="preserve"> w całości – akapit zostanie zmieniony zgodnie z propozycją MSWiA.</w:t>
            </w:r>
          </w:p>
          <w:p w14:paraId="431E7155" w14:textId="77777777" w:rsidR="004D57B1" w:rsidRDefault="004D57B1" w:rsidP="00A12FA7"/>
          <w:p w14:paraId="653E28B9" w14:textId="2A1ECB81" w:rsidR="009A3A76" w:rsidRDefault="009A3A76" w:rsidP="00A12FA7"/>
        </w:tc>
      </w:tr>
      <w:tr w:rsidR="008E50D1" w14:paraId="524E7FD1" w14:textId="77777777" w:rsidTr="008E50D1">
        <w:tc>
          <w:tcPr>
            <w:tcW w:w="728" w:type="dxa"/>
            <w:shd w:val="clear" w:color="auto" w:fill="auto"/>
          </w:tcPr>
          <w:p w14:paraId="38C54397" w14:textId="77777777" w:rsidR="008E50D1" w:rsidRPr="004D086F" w:rsidRDefault="008E50D1" w:rsidP="00437E1C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190" w:type="dxa"/>
            <w:shd w:val="clear" w:color="auto" w:fill="auto"/>
          </w:tcPr>
          <w:p w14:paraId="02BED751" w14:textId="77777777" w:rsidR="008E50D1" w:rsidRPr="00FA56AB" w:rsidRDefault="008E50D1" w:rsidP="004D086F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MSWiA</w:t>
            </w:r>
          </w:p>
        </w:tc>
        <w:tc>
          <w:tcPr>
            <w:tcW w:w="1890" w:type="dxa"/>
            <w:shd w:val="clear" w:color="auto" w:fill="auto"/>
          </w:tcPr>
          <w:p w14:paraId="6E5701A2" w14:textId="77777777" w:rsidR="008E50D1" w:rsidRDefault="008E50D1" w:rsidP="00720EAF">
            <w:pPr>
              <w:jc w:val="center"/>
            </w:pPr>
            <w:r>
              <w:t>Pkt 1.6</w:t>
            </w:r>
          </w:p>
          <w:p w14:paraId="1AE6A170" w14:textId="77777777" w:rsidR="008E50D1" w:rsidRDefault="008E50D1" w:rsidP="00720EAF">
            <w:pPr>
              <w:jc w:val="center"/>
            </w:pPr>
            <w:r>
              <w:t xml:space="preserve">Tabela 4 </w:t>
            </w:r>
          </w:p>
          <w:p w14:paraId="1CCBFA5D" w14:textId="77777777" w:rsidR="008E50D1" w:rsidRDefault="008E50D1" w:rsidP="00720EAF">
            <w:pPr>
              <w:jc w:val="center"/>
            </w:pPr>
            <w:r>
              <w:t>„Pamięć operacyjna”</w:t>
            </w:r>
          </w:p>
          <w:p w14:paraId="58508FDC" w14:textId="77777777" w:rsidR="008E50D1" w:rsidRDefault="008E50D1" w:rsidP="00720EAF">
            <w:pPr>
              <w:jc w:val="center"/>
            </w:pPr>
            <w:r>
              <w:t>I</w:t>
            </w:r>
          </w:p>
          <w:p w14:paraId="25ABCF1A" w14:textId="77777777" w:rsidR="008E50D1" w:rsidRDefault="008E50D1" w:rsidP="00720EAF">
            <w:pPr>
              <w:jc w:val="center"/>
            </w:pPr>
            <w:r>
              <w:t>Pkt 2.2</w:t>
            </w:r>
          </w:p>
        </w:tc>
        <w:tc>
          <w:tcPr>
            <w:tcW w:w="3194" w:type="dxa"/>
            <w:shd w:val="clear" w:color="auto" w:fill="auto"/>
          </w:tcPr>
          <w:p w14:paraId="4B34ECAA" w14:textId="77777777" w:rsidR="008E50D1" w:rsidRDefault="008E50D1" w:rsidP="00A12FA7">
            <w:r>
              <w:t xml:space="preserve">Płyty główne w większości przypadków obsługują różne typy pamięci RAM o różnej częstotliwości pracy. Brak możliwości określenia typu pamięci RAM oraz częstotliwości pracy, może </w:t>
            </w:r>
            <w:r>
              <w:lastRenderedPageBreak/>
              <w:t>prowadzić do zaoferowania komputerów z mniej wydajną pamięcią starszej technologii o niższym taktowaniu.</w:t>
            </w:r>
          </w:p>
        </w:tc>
        <w:tc>
          <w:tcPr>
            <w:tcW w:w="3842" w:type="dxa"/>
            <w:shd w:val="clear" w:color="auto" w:fill="auto"/>
          </w:tcPr>
          <w:p w14:paraId="486815E4" w14:textId="77777777" w:rsidR="008E50D1" w:rsidRDefault="008E50D1" w:rsidP="00A12FA7">
            <w:r>
              <w:lastRenderedPageBreak/>
              <w:t>Dopuścić opis pamięci RAM w zakresie typu i częstotliwości pracy.</w:t>
            </w:r>
          </w:p>
        </w:tc>
        <w:tc>
          <w:tcPr>
            <w:tcW w:w="3374" w:type="dxa"/>
          </w:tcPr>
          <w:p w14:paraId="0F2DA97E" w14:textId="77777777" w:rsidR="004D57B1" w:rsidRDefault="004D57B1" w:rsidP="00A12FA7">
            <w:r>
              <w:t xml:space="preserve">Wydajność zestawu komputerowego mierzona jest za pomocą testu aplikacyjnego. </w:t>
            </w:r>
            <w:r w:rsidRPr="004D57B1">
              <w:t xml:space="preserve">Typ i częstotliwość pracy zastosowanej pamięci będzie miał bezpośredni wpływ na wynik osiągnięty w teście </w:t>
            </w:r>
          </w:p>
          <w:p w14:paraId="5FD01DF4" w14:textId="77777777" w:rsidR="004D57B1" w:rsidRDefault="004D57B1" w:rsidP="00A12FA7"/>
          <w:p w14:paraId="539E3A95" w14:textId="12D1CECC" w:rsidR="008E50D1" w:rsidRDefault="008E50D1" w:rsidP="00A12FA7"/>
          <w:p w14:paraId="5C1CA764" w14:textId="7FD5A2C4" w:rsidR="004B5C81" w:rsidRDefault="004B5C81" w:rsidP="00A12FA7"/>
        </w:tc>
      </w:tr>
      <w:tr w:rsidR="008E50D1" w14:paraId="7B227E26" w14:textId="77777777" w:rsidTr="008E50D1">
        <w:tc>
          <w:tcPr>
            <w:tcW w:w="728" w:type="dxa"/>
            <w:shd w:val="clear" w:color="auto" w:fill="auto"/>
          </w:tcPr>
          <w:p w14:paraId="288A629F" w14:textId="77777777" w:rsidR="008E50D1" w:rsidRDefault="008E50D1" w:rsidP="00437E1C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190" w:type="dxa"/>
            <w:shd w:val="clear" w:color="auto" w:fill="auto"/>
          </w:tcPr>
          <w:p w14:paraId="5FF6449A" w14:textId="77777777" w:rsidR="008E50D1" w:rsidRDefault="008E50D1" w:rsidP="004D086F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MSWiA</w:t>
            </w:r>
          </w:p>
        </w:tc>
        <w:tc>
          <w:tcPr>
            <w:tcW w:w="1890" w:type="dxa"/>
            <w:shd w:val="clear" w:color="auto" w:fill="auto"/>
          </w:tcPr>
          <w:p w14:paraId="05B2B5CB" w14:textId="77777777" w:rsidR="008E50D1" w:rsidRDefault="008E50D1" w:rsidP="00616EBB">
            <w:pPr>
              <w:jc w:val="center"/>
            </w:pPr>
            <w:r>
              <w:t>Pkt 1.6</w:t>
            </w:r>
          </w:p>
          <w:p w14:paraId="33F4EB2A" w14:textId="77777777" w:rsidR="008E50D1" w:rsidRDefault="008E50D1" w:rsidP="00616EBB">
            <w:pPr>
              <w:jc w:val="center"/>
            </w:pPr>
            <w:r>
              <w:t xml:space="preserve">Tabela 4 </w:t>
            </w:r>
          </w:p>
          <w:p w14:paraId="55EE697F" w14:textId="77777777" w:rsidR="008E50D1" w:rsidRDefault="008E50D1" w:rsidP="00616EBB">
            <w:pPr>
              <w:jc w:val="center"/>
            </w:pPr>
            <w:r>
              <w:t>„</w:t>
            </w:r>
            <w:r w:rsidRPr="00616EBB">
              <w:t>Pamięć masowa (dysk twardy lub dysk SSD)</w:t>
            </w:r>
            <w:r>
              <w:t>”</w:t>
            </w:r>
          </w:p>
          <w:p w14:paraId="365212AA" w14:textId="77777777" w:rsidR="008E50D1" w:rsidRDefault="008E50D1" w:rsidP="00616EBB">
            <w:pPr>
              <w:jc w:val="center"/>
            </w:pPr>
            <w:r>
              <w:t>I</w:t>
            </w:r>
          </w:p>
          <w:p w14:paraId="05A2E252" w14:textId="77777777" w:rsidR="008E50D1" w:rsidRDefault="008E50D1" w:rsidP="00616EBB">
            <w:pPr>
              <w:jc w:val="center"/>
            </w:pPr>
            <w:r>
              <w:t>Pkt 2.5</w:t>
            </w:r>
          </w:p>
        </w:tc>
        <w:tc>
          <w:tcPr>
            <w:tcW w:w="3194" w:type="dxa"/>
            <w:shd w:val="clear" w:color="auto" w:fill="auto"/>
          </w:tcPr>
          <w:p w14:paraId="54D1201B" w14:textId="77777777" w:rsidR="008E50D1" w:rsidRDefault="008E50D1" w:rsidP="00A12FA7">
            <w:r>
              <w:t>„1. W przypadku dysków twardych konkretna:</w:t>
            </w:r>
          </w:p>
          <w:p w14:paraId="75C98E1D" w14:textId="77777777" w:rsidR="008E50D1" w:rsidRDefault="008E50D1" w:rsidP="00A12FA7">
            <w:r>
              <w:t>a. pamięć podręczna,</w:t>
            </w:r>
            <w:r>
              <w:tab/>
            </w:r>
            <w:r>
              <w:tab/>
            </w:r>
          </w:p>
          <w:p w14:paraId="505DD45D" w14:textId="77777777" w:rsidR="008E50D1" w:rsidRDefault="008E50D1" w:rsidP="00A12FA7">
            <w:r>
              <w:t>b. prędkość obrotowa.”</w:t>
            </w:r>
          </w:p>
          <w:p w14:paraId="3AA8C7EE" w14:textId="77777777" w:rsidR="008E50D1" w:rsidRDefault="008E50D1" w:rsidP="00A12FA7">
            <w:r>
              <w:t>Usunięcie wymogu minimalnej dopuszczalnej prędkości obrotowej w przypadku klasycznych magnetycznych dysków twardych, może powodować oferowanie komputerów z wolniejszymi dyskami twardymi co w znaczący sposób wpływa na wydajność komputera</w:t>
            </w:r>
          </w:p>
          <w:p w14:paraId="780ACE9F" w14:textId="77777777" w:rsidR="008E50D1" w:rsidRDefault="008E50D1" w:rsidP="00A12FA7"/>
        </w:tc>
        <w:tc>
          <w:tcPr>
            <w:tcW w:w="3842" w:type="dxa"/>
            <w:shd w:val="clear" w:color="auto" w:fill="auto"/>
          </w:tcPr>
          <w:p w14:paraId="51A5AFCF" w14:textId="77777777" w:rsidR="008E50D1" w:rsidRDefault="008E50D1" w:rsidP="00A12FA7">
            <w:r>
              <w:t>Dopuścić wymóg minimalnej prędkości obrotowej i pamięci podręcznej klasycznego magnetycznego dysku twardego.</w:t>
            </w:r>
          </w:p>
        </w:tc>
        <w:tc>
          <w:tcPr>
            <w:tcW w:w="3374" w:type="dxa"/>
          </w:tcPr>
          <w:p w14:paraId="048E6E7C" w14:textId="77777777" w:rsidR="004D57B1" w:rsidRDefault="004D57B1" w:rsidP="004D57B1">
            <w:r w:rsidRPr="004D57B1">
              <w:t>Wydajność zestawu komputerowego mierzona jest za pomocą testu aplikacyjnego. Prędkość obrotowa dysków magnetycznych będzie miała bezpośredni wpływ na wynik osiągnięty w teście.</w:t>
            </w:r>
          </w:p>
          <w:p w14:paraId="68E1D936" w14:textId="77777777" w:rsidR="004D57B1" w:rsidRDefault="004D57B1" w:rsidP="004D57B1"/>
          <w:p w14:paraId="5C567063" w14:textId="30E0D1C6" w:rsidR="004B5C81" w:rsidRDefault="004B5C81" w:rsidP="004D57B1"/>
        </w:tc>
      </w:tr>
      <w:tr w:rsidR="008E50D1" w14:paraId="755B7C08" w14:textId="77777777" w:rsidTr="008E50D1">
        <w:tc>
          <w:tcPr>
            <w:tcW w:w="728" w:type="dxa"/>
            <w:shd w:val="clear" w:color="auto" w:fill="auto"/>
          </w:tcPr>
          <w:p w14:paraId="754E5F21" w14:textId="77777777" w:rsidR="008E50D1" w:rsidRDefault="008E50D1" w:rsidP="00437E1C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190" w:type="dxa"/>
            <w:shd w:val="clear" w:color="auto" w:fill="auto"/>
          </w:tcPr>
          <w:p w14:paraId="5AA46169" w14:textId="77777777" w:rsidR="008E50D1" w:rsidRDefault="008E50D1" w:rsidP="004D086F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MSWiA</w:t>
            </w:r>
          </w:p>
          <w:p w14:paraId="6F39CCB0" w14:textId="77777777" w:rsidR="008E50D1" w:rsidRDefault="008E50D1" w:rsidP="004D086F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1890" w:type="dxa"/>
            <w:shd w:val="clear" w:color="auto" w:fill="auto"/>
          </w:tcPr>
          <w:p w14:paraId="176E6A16" w14:textId="77777777" w:rsidR="008E50D1" w:rsidRDefault="008E50D1" w:rsidP="000C101E">
            <w:pPr>
              <w:jc w:val="center"/>
            </w:pPr>
            <w:r>
              <w:t>Pkt 1.1.</w:t>
            </w:r>
          </w:p>
          <w:p w14:paraId="01E88212" w14:textId="77777777" w:rsidR="008E50D1" w:rsidRPr="000C101E" w:rsidRDefault="008E50D1" w:rsidP="000C101E">
            <w:pPr>
              <w:jc w:val="center"/>
            </w:pPr>
            <w:r w:rsidRPr="002D5542">
              <w:t>Str. 4</w:t>
            </w:r>
          </w:p>
        </w:tc>
        <w:tc>
          <w:tcPr>
            <w:tcW w:w="3194" w:type="dxa"/>
            <w:shd w:val="clear" w:color="auto" w:fill="auto"/>
          </w:tcPr>
          <w:p w14:paraId="4FD2A93B" w14:textId="77777777" w:rsidR="008E50D1" w:rsidRDefault="008E50D1" w:rsidP="00A12FA7">
            <w:r>
              <w:t>Wpisano: Monitor ekranowy –</w:t>
            </w:r>
            <w:r w:rsidRPr="002D5542">
              <w:t xml:space="preserve"> urządzenie elektroniczne wyposażone w wyświetlacz  będący źródłem </w:t>
            </w:r>
            <w:r w:rsidRPr="002D5542">
              <w:lastRenderedPageBreak/>
              <w:t>światła, przetwarzający sygnały odbierane z komputera. Monitor wyposażony jest w niezależny od innych urządzeń system zasilania.</w:t>
            </w:r>
          </w:p>
          <w:p w14:paraId="5FB31B38" w14:textId="77777777" w:rsidR="008E50D1" w:rsidRDefault="008E50D1" w:rsidP="00A12FA7"/>
          <w:p w14:paraId="75281B91" w14:textId="77777777" w:rsidR="008E50D1" w:rsidRDefault="008E50D1" w:rsidP="00A12FA7">
            <w:r w:rsidRPr="002D5542">
              <w:t xml:space="preserve">Uwaga: czy są monitory nie ekranowe? </w:t>
            </w:r>
          </w:p>
          <w:p w14:paraId="1EB67CEB" w14:textId="77777777" w:rsidR="008E50D1" w:rsidRPr="00437E1C" w:rsidRDefault="008E50D1" w:rsidP="00A12FA7">
            <w:r>
              <w:t xml:space="preserve">Dokument </w:t>
            </w:r>
            <w:r w:rsidRPr="00437E1C">
              <w:t>nie jest konsekwentny w</w:t>
            </w:r>
            <w:r>
              <w:t xml:space="preserve"> zachowaniu nazw z definicji: pojawia się</w:t>
            </w:r>
            <w:r w:rsidRPr="00437E1C">
              <w:t xml:space="preserve"> definicja „monitora ekranowego” a później jest nagłówek „monitor ciekłokrystaliczny”.</w:t>
            </w:r>
          </w:p>
          <w:p w14:paraId="59E304EF" w14:textId="77777777" w:rsidR="008E50D1" w:rsidRDefault="008E50D1" w:rsidP="00A12FA7"/>
        </w:tc>
        <w:tc>
          <w:tcPr>
            <w:tcW w:w="3842" w:type="dxa"/>
            <w:shd w:val="clear" w:color="auto" w:fill="auto"/>
          </w:tcPr>
          <w:p w14:paraId="75411C30" w14:textId="77777777" w:rsidR="008E50D1" w:rsidRDefault="008E50D1" w:rsidP="00A12FA7">
            <w:r>
              <w:lastRenderedPageBreak/>
              <w:t>Wskazane sprostowanie.</w:t>
            </w:r>
          </w:p>
        </w:tc>
        <w:tc>
          <w:tcPr>
            <w:tcW w:w="3374" w:type="dxa"/>
          </w:tcPr>
          <w:p w14:paraId="0B8C823B" w14:textId="53209E4F" w:rsidR="004D57B1" w:rsidRPr="004D57B1" w:rsidRDefault="004D57B1" w:rsidP="00A12FA7">
            <w:r w:rsidRPr="004D57B1">
              <w:t>Uwaga zostanie uwzględniona. Wyrażenie „monitor ekranowy” zostanie zastąpione słowem „monitor”</w:t>
            </w:r>
          </w:p>
          <w:p w14:paraId="700FED36" w14:textId="77777777" w:rsidR="004D57B1" w:rsidRDefault="004D57B1" w:rsidP="00A12FA7">
            <w:pPr>
              <w:rPr>
                <w:color w:val="FF0000"/>
              </w:rPr>
            </w:pPr>
          </w:p>
          <w:p w14:paraId="5DE355B2" w14:textId="104BE259" w:rsidR="008E50D1" w:rsidRDefault="008E50D1" w:rsidP="00A12FA7"/>
        </w:tc>
      </w:tr>
      <w:tr w:rsidR="008E50D1" w14:paraId="01B01B5E" w14:textId="77777777" w:rsidTr="008E50D1">
        <w:tc>
          <w:tcPr>
            <w:tcW w:w="728" w:type="dxa"/>
            <w:shd w:val="clear" w:color="auto" w:fill="auto"/>
          </w:tcPr>
          <w:p w14:paraId="51B22E19" w14:textId="77777777" w:rsidR="008E50D1" w:rsidRDefault="008E50D1" w:rsidP="00437E1C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190" w:type="dxa"/>
            <w:shd w:val="clear" w:color="auto" w:fill="auto"/>
          </w:tcPr>
          <w:p w14:paraId="3B9F6434" w14:textId="77777777" w:rsidR="008E50D1" w:rsidRDefault="008E50D1" w:rsidP="002D554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MSWiA</w:t>
            </w:r>
          </w:p>
          <w:p w14:paraId="6CD3E0AD" w14:textId="77777777" w:rsidR="008E50D1" w:rsidRDefault="008E50D1" w:rsidP="002D5542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1890" w:type="dxa"/>
            <w:shd w:val="clear" w:color="auto" w:fill="auto"/>
          </w:tcPr>
          <w:p w14:paraId="175F391F" w14:textId="77777777" w:rsidR="008E50D1" w:rsidRDefault="008E50D1" w:rsidP="002D5542">
            <w:pPr>
              <w:jc w:val="center"/>
            </w:pPr>
            <w:r>
              <w:t>Pkt 1.1.</w:t>
            </w:r>
          </w:p>
          <w:p w14:paraId="3B1F1FDF" w14:textId="77777777" w:rsidR="008E50D1" w:rsidRDefault="008E50D1" w:rsidP="002D5542">
            <w:pPr>
              <w:jc w:val="center"/>
            </w:pPr>
            <w:r w:rsidRPr="002D5542">
              <w:t>Str. 4</w:t>
            </w:r>
          </w:p>
        </w:tc>
        <w:tc>
          <w:tcPr>
            <w:tcW w:w="3194" w:type="dxa"/>
            <w:shd w:val="clear" w:color="auto" w:fill="auto"/>
          </w:tcPr>
          <w:p w14:paraId="34167E09" w14:textId="77777777" w:rsidR="008E50D1" w:rsidRDefault="008E50D1" w:rsidP="00A12FA7">
            <w:r>
              <w:t xml:space="preserve">Wpisano: </w:t>
            </w:r>
            <w:r w:rsidRPr="002D5542">
              <w:t xml:space="preserve">Zestaw komputerowy – w skład zestawu wchodzą: komputer stacjonarny, komputer stacjonarny typu All in One, zestaw komputerowy typu All in One, laptop (we wszystkich </w:t>
            </w:r>
            <w:r w:rsidRPr="002D5542">
              <w:lastRenderedPageBreak/>
              <w:t xml:space="preserve">jego odmianach), monitor ekranowy, urządzenia peryferyjne, system operacyjny. </w:t>
            </w:r>
          </w:p>
          <w:p w14:paraId="5DEDF8CF" w14:textId="77777777" w:rsidR="008E50D1" w:rsidRDefault="008E50D1" w:rsidP="00A12FA7"/>
          <w:p w14:paraId="0D6EF95D" w14:textId="77777777" w:rsidR="008E50D1" w:rsidRPr="002D5542" w:rsidRDefault="008E50D1" w:rsidP="00A12FA7">
            <w:r w:rsidRPr="002D5542">
              <w:t>Definicja sugeruje ze zestaw komputerowy składa się z komputera stacjonarnego i komputera stacjonarnego typu All in One i zestawu komputerowego typu All in One i laptopa (we wszystkich jego odmianach) i monitora ekranowego i urządzenia peryferyjnego i system operacyjny.</w:t>
            </w:r>
          </w:p>
          <w:p w14:paraId="7561284B" w14:textId="77777777" w:rsidR="008E50D1" w:rsidRDefault="008E50D1" w:rsidP="00A12FA7"/>
        </w:tc>
        <w:tc>
          <w:tcPr>
            <w:tcW w:w="3842" w:type="dxa"/>
            <w:shd w:val="clear" w:color="auto" w:fill="auto"/>
          </w:tcPr>
          <w:p w14:paraId="2B53B856" w14:textId="77777777" w:rsidR="008E50D1" w:rsidRPr="002D5542" w:rsidRDefault="008E50D1" w:rsidP="00A12FA7">
            <w:r w:rsidRPr="002D5542">
              <w:lastRenderedPageBreak/>
              <w:t>Nie ma definicji "laptopa" tylko jest definicja "komputera przenośnego" i taki zwrot powinien być użyty w definicji "zestawu komputerowego"</w:t>
            </w:r>
            <w:r>
              <w:t>.</w:t>
            </w:r>
          </w:p>
          <w:p w14:paraId="45D39515" w14:textId="77777777" w:rsidR="008E50D1" w:rsidRDefault="008E50D1" w:rsidP="00A12FA7"/>
        </w:tc>
        <w:tc>
          <w:tcPr>
            <w:tcW w:w="3374" w:type="dxa"/>
          </w:tcPr>
          <w:p w14:paraId="6F3E1F81" w14:textId="77777777" w:rsidR="008E50D1" w:rsidRDefault="008A6590" w:rsidP="00A12FA7">
            <w:r>
              <w:t>Uwaga zostanie uwzględniona</w:t>
            </w:r>
          </w:p>
          <w:p w14:paraId="610B184D" w14:textId="3A6DAD41" w:rsidR="00E55FB1" w:rsidRPr="002D5542" w:rsidRDefault="00E55FB1" w:rsidP="00A12FA7"/>
        </w:tc>
      </w:tr>
      <w:tr w:rsidR="008E50D1" w14:paraId="345F359F" w14:textId="77777777" w:rsidTr="008E50D1">
        <w:tc>
          <w:tcPr>
            <w:tcW w:w="728" w:type="dxa"/>
            <w:shd w:val="clear" w:color="auto" w:fill="auto"/>
          </w:tcPr>
          <w:p w14:paraId="5C168D02" w14:textId="77777777" w:rsidR="008E50D1" w:rsidRDefault="008E50D1" w:rsidP="00437E1C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190" w:type="dxa"/>
            <w:shd w:val="clear" w:color="auto" w:fill="auto"/>
          </w:tcPr>
          <w:p w14:paraId="682C77D8" w14:textId="77777777" w:rsidR="008E50D1" w:rsidRDefault="008E50D1" w:rsidP="002D554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MSWiA</w:t>
            </w:r>
          </w:p>
          <w:p w14:paraId="0CFE7C74" w14:textId="77777777" w:rsidR="008E50D1" w:rsidRDefault="008E50D1" w:rsidP="002D5542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1890" w:type="dxa"/>
            <w:shd w:val="clear" w:color="auto" w:fill="auto"/>
          </w:tcPr>
          <w:p w14:paraId="19F91F99" w14:textId="77777777" w:rsidR="008E50D1" w:rsidRPr="00437E1C" w:rsidRDefault="008E50D1" w:rsidP="00437E1C">
            <w:pPr>
              <w:jc w:val="center"/>
            </w:pPr>
            <w:r w:rsidRPr="00437E1C">
              <w:t>Pkt 1.1.</w:t>
            </w:r>
          </w:p>
          <w:p w14:paraId="053DDF91" w14:textId="77777777" w:rsidR="008E50D1" w:rsidRDefault="008E50D1" w:rsidP="00437E1C">
            <w:pPr>
              <w:jc w:val="center"/>
            </w:pPr>
            <w:r w:rsidRPr="00437E1C">
              <w:t>Str. 4</w:t>
            </w:r>
          </w:p>
        </w:tc>
        <w:tc>
          <w:tcPr>
            <w:tcW w:w="3194" w:type="dxa"/>
            <w:shd w:val="clear" w:color="auto" w:fill="auto"/>
          </w:tcPr>
          <w:p w14:paraId="31B66CE2" w14:textId="77777777" w:rsidR="008E50D1" w:rsidRDefault="008E50D1" w:rsidP="00A12FA7">
            <w:r>
              <w:t>Wpisano:</w:t>
            </w:r>
            <w:r w:rsidRPr="00437E1C">
              <w:t xml:space="preserve"> Komputer przenośny – urządzenie elektroniczne, składające się z elementów takich jak: procesor, płyta główna, pamięć operacyjna, karta graficzna, karty rozszerzeń, </w:t>
            </w:r>
            <w:r w:rsidRPr="00437E1C">
              <w:lastRenderedPageBreak/>
              <w:t>pamięć masowa (dysk twardy), bateria, kamera, mikrofon, zintegrowana klawiatura, urządzenie wskazujące i wyświetlacz.</w:t>
            </w:r>
          </w:p>
          <w:p w14:paraId="3E7BDE36" w14:textId="77777777" w:rsidR="008E50D1" w:rsidRDefault="008E50D1" w:rsidP="00A12FA7"/>
          <w:p w14:paraId="31089BBA" w14:textId="77777777" w:rsidR="008E50D1" w:rsidRPr="00437E1C" w:rsidRDefault="008E50D1" w:rsidP="00A12FA7">
            <w:r w:rsidRPr="00437E1C">
              <w:t xml:space="preserve">Uwaga: definicja nie jest precyzyjna bo można opisać nią inne urządzenia tzn. urządzenie wyposażone w rysik takie jak telefon komórkowy typu NOTE, tablet – co wynika z </w:t>
            </w:r>
            <w:r>
              <w:t xml:space="preserve">przyjętej w projekcie </w:t>
            </w:r>
            <w:r w:rsidRPr="00437E1C">
              <w:t>definicji tabletu.</w:t>
            </w:r>
          </w:p>
          <w:p w14:paraId="324B0DCE" w14:textId="77777777" w:rsidR="008E50D1" w:rsidRPr="00437E1C" w:rsidRDefault="008E50D1" w:rsidP="00A12FA7">
            <w:r w:rsidRPr="00437E1C">
              <w:rPr>
                <w:b/>
                <w:bCs/>
              </w:rPr>
              <w:t xml:space="preserve">Tablet </w:t>
            </w:r>
            <w:r w:rsidRPr="00437E1C">
              <w:t>– komputer przenośny, posiadający wbudowany dotykowy wyświetlacz, nieposiadający fizycznej klawiatury.</w:t>
            </w:r>
          </w:p>
          <w:p w14:paraId="045D6C82" w14:textId="77777777" w:rsidR="008E50D1" w:rsidRDefault="008E50D1" w:rsidP="00A12FA7"/>
          <w:p w14:paraId="0F187472" w14:textId="77777777" w:rsidR="008E50D1" w:rsidRPr="00437E1C" w:rsidRDefault="008E50D1" w:rsidP="00A12FA7">
            <w:r w:rsidRPr="00437E1C">
              <w:t xml:space="preserve">Klawiatura systemowa (np. oferowana przez system Windows lub Android) może </w:t>
            </w:r>
            <w:r w:rsidRPr="00437E1C">
              <w:lastRenderedPageBreak/>
              <w:t>być uznana za zintegrowaną tyle, że nie jest fizyczna.</w:t>
            </w:r>
          </w:p>
          <w:p w14:paraId="3837FC40" w14:textId="77777777" w:rsidR="008E50D1" w:rsidRDefault="008E50D1" w:rsidP="00A12FA7"/>
        </w:tc>
        <w:tc>
          <w:tcPr>
            <w:tcW w:w="3842" w:type="dxa"/>
            <w:shd w:val="clear" w:color="auto" w:fill="auto"/>
          </w:tcPr>
          <w:p w14:paraId="56D4FDFD" w14:textId="77777777" w:rsidR="008E50D1" w:rsidRPr="002D5542" w:rsidRDefault="008E50D1" w:rsidP="00A12FA7">
            <w:r>
              <w:lastRenderedPageBreak/>
              <w:t>Wskazane sprostowanie.</w:t>
            </w:r>
          </w:p>
        </w:tc>
        <w:tc>
          <w:tcPr>
            <w:tcW w:w="3374" w:type="dxa"/>
          </w:tcPr>
          <w:p w14:paraId="4420AB7A" w14:textId="21E27312" w:rsidR="008E50D1" w:rsidRDefault="000E1408" w:rsidP="00A12FA7">
            <w:r>
              <w:t>Uwaga zostanie uwzględniona w zakresie pierwszego słowa definicji słowa tablet. Słowo „komputer” zastąpione zostanie słowem „ urządzenie”</w:t>
            </w:r>
          </w:p>
        </w:tc>
      </w:tr>
      <w:tr w:rsidR="008E50D1" w14:paraId="36986A8C" w14:textId="77777777" w:rsidTr="008E50D1">
        <w:tc>
          <w:tcPr>
            <w:tcW w:w="728" w:type="dxa"/>
            <w:shd w:val="clear" w:color="auto" w:fill="auto"/>
          </w:tcPr>
          <w:p w14:paraId="4398E77C" w14:textId="77777777" w:rsidR="008E50D1" w:rsidRDefault="008E50D1" w:rsidP="00437E1C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190" w:type="dxa"/>
            <w:shd w:val="clear" w:color="auto" w:fill="auto"/>
          </w:tcPr>
          <w:p w14:paraId="5BF547E7" w14:textId="77777777" w:rsidR="008E50D1" w:rsidRDefault="008E50D1" w:rsidP="002D554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MSWiA</w:t>
            </w:r>
          </w:p>
        </w:tc>
        <w:tc>
          <w:tcPr>
            <w:tcW w:w="1890" w:type="dxa"/>
            <w:shd w:val="clear" w:color="auto" w:fill="auto"/>
          </w:tcPr>
          <w:p w14:paraId="6BD44A2C" w14:textId="77777777" w:rsidR="008E50D1" w:rsidRPr="00437E1C" w:rsidRDefault="008E50D1" w:rsidP="00437E1C">
            <w:pPr>
              <w:jc w:val="center"/>
            </w:pPr>
            <w:r>
              <w:t>Uwaga ogólna</w:t>
            </w:r>
          </w:p>
        </w:tc>
        <w:tc>
          <w:tcPr>
            <w:tcW w:w="3194" w:type="dxa"/>
            <w:shd w:val="clear" w:color="auto" w:fill="auto"/>
          </w:tcPr>
          <w:p w14:paraId="4A2E7158" w14:textId="77777777" w:rsidR="008E50D1" w:rsidRPr="00143205" w:rsidRDefault="008E50D1" w:rsidP="00A12FA7">
            <w:r w:rsidRPr="00143205">
              <w:t xml:space="preserve">Dokument nie zawiera opisów takich jak przedmiotów jak: serwery, macierze, sprzęt sieciowy, drukarki, itd. </w:t>
            </w:r>
          </w:p>
          <w:p w14:paraId="72BF2471" w14:textId="77777777" w:rsidR="008E50D1" w:rsidRDefault="008E50D1" w:rsidP="00A12FA7"/>
        </w:tc>
        <w:tc>
          <w:tcPr>
            <w:tcW w:w="3842" w:type="dxa"/>
            <w:shd w:val="clear" w:color="auto" w:fill="auto"/>
          </w:tcPr>
          <w:p w14:paraId="29E5FD56" w14:textId="77777777" w:rsidR="008E50D1" w:rsidRDefault="008E50D1" w:rsidP="00A12FA7">
            <w:r>
              <w:t>Wskazane uzupełnienie.</w:t>
            </w:r>
          </w:p>
        </w:tc>
        <w:tc>
          <w:tcPr>
            <w:tcW w:w="3374" w:type="dxa"/>
          </w:tcPr>
          <w:p w14:paraId="0A5DD449" w14:textId="08487BBD" w:rsidR="002B3F25" w:rsidRDefault="002B3F25" w:rsidP="002B3F25">
            <w:pPr>
              <w:jc w:val="both"/>
            </w:pPr>
            <w:r w:rsidRPr="002B3F25">
              <w:t xml:space="preserve">Dokument skierowany do zaopiniowania jest aktualizacją pierwotnego, który powstał w 2012 roku. Dlatego też praca grupy roboczej skoncentrowana była wokół zagadnień poruszanych w ówczesnej wersji dokumentu. Prace nad aktualizacją rekomendacji trwały ponad rok w ścisłej współpracy z przedstawicielami branżowych zrzeszeń informatycznych. </w:t>
            </w:r>
            <w:r w:rsidR="00646073">
              <w:t xml:space="preserve">Ambicją dokumentu nie było objęcie zamawiania wszystkich urządzeń elektrycznych. </w:t>
            </w:r>
            <w:r w:rsidRPr="002B3F25">
              <w:t xml:space="preserve">Dlatego też ewentualne rozszerzenie zakresu rekomendacji powodowałoby konieczność ponownego ustalenia interesariuszy, publicznego wezwania do przystąpienia do </w:t>
            </w:r>
            <w:r w:rsidRPr="002B3F25">
              <w:lastRenderedPageBreak/>
              <w:t>prac, określenia zakresu i kształtu prac w ramach grupy roboczej, a co za tym idzie istotnie opóźniłoby wydanie rekomendacji oczekiwanych przez Zamawiających oraz Wykonawców.</w:t>
            </w:r>
            <w:r w:rsidR="00646073">
              <w:t xml:space="preserve"> Kolejne zakresy dla kolejnych rekomendacji mogą być w przyszłości przedmiotem prac kolejnych grup roboczych z uwzględnieniem zaangażowania interesariuszy. </w:t>
            </w:r>
          </w:p>
          <w:p w14:paraId="56E90FE9" w14:textId="77777777" w:rsidR="004D57B1" w:rsidRPr="002B3F25" w:rsidRDefault="004D57B1" w:rsidP="002B3F25">
            <w:pPr>
              <w:jc w:val="both"/>
            </w:pPr>
          </w:p>
          <w:p w14:paraId="77349080" w14:textId="7CD112E6" w:rsidR="00336F81" w:rsidRDefault="00336F81" w:rsidP="00646073"/>
        </w:tc>
      </w:tr>
    </w:tbl>
    <w:p w14:paraId="103C5401" w14:textId="77777777" w:rsidR="00C64B1B" w:rsidRDefault="00C64B1B" w:rsidP="00C64B1B">
      <w:pPr>
        <w:jc w:val="center"/>
      </w:pPr>
    </w:p>
    <w:sectPr w:rsidR="00C64B1B" w:rsidSect="00C64B1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D2F1B9" w14:textId="77777777" w:rsidR="00A03179" w:rsidRDefault="00A03179" w:rsidP="00FE6385">
      <w:r>
        <w:separator/>
      </w:r>
    </w:p>
  </w:endnote>
  <w:endnote w:type="continuationSeparator" w:id="0">
    <w:p w14:paraId="01BB7F29" w14:textId="77777777" w:rsidR="00A03179" w:rsidRDefault="00A03179" w:rsidP="00FE6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56F65" w14:textId="77777777" w:rsidR="00A03179" w:rsidRDefault="00A03179" w:rsidP="00FE6385">
      <w:r>
        <w:separator/>
      </w:r>
    </w:p>
  </w:footnote>
  <w:footnote w:type="continuationSeparator" w:id="0">
    <w:p w14:paraId="677A5F4B" w14:textId="77777777" w:rsidR="00A03179" w:rsidRDefault="00A03179" w:rsidP="00FE63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16D32"/>
    <w:multiLevelType w:val="hybridMultilevel"/>
    <w:tmpl w:val="BA525B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C740B83"/>
    <w:multiLevelType w:val="hybridMultilevel"/>
    <w:tmpl w:val="845E88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EFA08A2"/>
    <w:multiLevelType w:val="hybridMultilevel"/>
    <w:tmpl w:val="B414F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0ACA"/>
    <w:rsid w:val="00034258"/>
    <w:rsid w:val="00074E14"/>
    <w:rsid w:val="000B466A"/>
    <w:rsid w:val="000C101E"/>
    <w:rsid w:val="000E1408"/>
    <w:rsid w:val="00140BE8"/>
    <w:rsid w:val="00143205"/>
    <w:rsid w:val="00153F68"/>
    <w:rsid w:val="0019648E"/>
    <w:rsid w:val="001A5B3D"/>
    <w:rsid w:val="001A663E"/>
    <w:rsid w:val="001F49F8"/>
    <w:rsid w:val="002715B2"/>
    <w:rsid w:val="002903AE"/>
    <w:rsid w:val="002B3F25"/>
    <w:rsid w:val="002D5542"/>
    <w:rsid w:val="002F4233"/>
    <w:rsid w:val="00307860"/>
    <w:rsid w:val="003124D1"/>
    <w:rsid w:val="003143DB"/>
    <w:rsid w:val="00316B8A"/>
    <w:rsid w:val="0033118A"/>
    <w:rsid w:val="00336F81"/>
    <w:rsid w:val="0036563B"/>
    <w:rsid w:val="00371F8B"/>
    <w:rsid w:val="00422165"/>
    <w:rsid w:val="00437E1C"/>
    <w:rsid w:val="00456AFD"/>
    <w:rsid w:val="004803D8"/>
    <w:rsid w:val="00491711"/>
    <w:rsid w:val="004B5C81"/>
    <w:rsid w:val="004D086F"/>
    <w:rsid w:val="004D57B1"/>
    <w:rsid w:val="004E151A"/>
    <w:rsid w:val="004E4974"/>
    <w:rsid w:val="004F5BC5"/>
    <w:rsid w:val="00537D0E"/>
    <w:rsid w:val="00554429"/>
    <w:rsid w:val="005619B0"/>
    <w:rsid w:val="00566F70"/>
    <w:rsid w:val="005F6527"/>
    <w:rsid w:val="00616EBB"/>
    <w:rsid w:val="00646073"/>
    <w:rsid w:val="006705EC"/>
    <w:rsid w:val="006E16E9"/>
    <w:rsid w:val="00720B3F"/>
    <w:rsid w:val="00720EAF"/>
    <w:rsid w:val="007378FD"/>
    <w:rsid w:val="00807385"/>
    <w:rsid w:val="008A6590"/>
    <w:rsid w:val="008B72B0"/>
    <w:rsid w:val="008E50D1"/>
    <w:rsid w:val="00944932"/>
    <w:rsid w:val="00993DF1"/>
    <w:rsid w:val="009A3A76"/>
    <w:rsid w:val="009D2C62"/>
    <w:rsid w:val="009E138E"/>
    <w:rsid w:val="009E1C07"/>
    <w:rsid w:val="00A03179"/>
    <w:rsid w:val="00A12FA7"/>
    <w:rsid w:val="00A13A94"/>
    <w:rsid w:val="00A6020C"/>
    <w:rsid w:val="00AC6A6C"/>
    <w:rsid w:val="00B6363B"/>
    <w:rsid w:val="00B871B6"/>
    <w:rsid w:val="00C64B1B"/>
    <w:rsid w:val="00CB257C"/>
    <w:rsid w:val="00CF33D7"/>
    <w:rsid w:val="00CF4465"/>
    <w:rsid w:val="00D00C4E"/>
    <w:rsid w:val="00D41D09"/>
    <w:rsid w:val="00E04942"/>
    <w:rsid w:val="00E14C33"/>
    <w:rsid w:val="00E55FB1"/>
    <w:rsid w:val="00E758E6"/>
    <w:rsid w:val="00EB73E1"/>
    <w:rsid w:val="00F03ABC"/>
    <w:rsid w:val="00F57DA3"/>
    <w:rsid w:val="00FA56AB"/>
    <w:rsid w:val="00FB1FD5"/>
    <w:rsid w:val="00FE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F4CFA1"/>
  <w15:chartTrackingRefBased/>
  <w15:docId w15:val="{848C669A-092A-4C11-A7BF-AA6AA8C93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1A5B3D"/>
    <w:rPr>
      <w:color w:val="0563C1"/>
      <w:u w:val="single"/>
    </w:rPr>
  </w:style>
  <w:style w:type="character" w:styleId="Odwoaniedokomentarza">
    <w:name w:val="annotation reference"/>
    <w:basedOn w:val="Domylnaczcionkaakapitu"/>
    <w:rsid w:val="00FE638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E63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E6385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E63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E6385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FE63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FE63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gov.pl/web/krmc/rekomendacje-dot-udzielania-zamowien-publicznych-na-dostawe-zestawow-komputerowych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4F71DE97CC04886451467B1BEF052" ma:contentTypeVersion="13" ma:contentTypeDescription="Create a new document." ma:contentTypeScope="" ma:versionID="3bd2678949fda587e26072a71d315c4e">
  <xsd:schema xmlns:xsd="http://www.w3.org/2001/XMLSchema" xmlns:xs="http://www.w3.org/2001/XMLSchema" xmlns:p="http://schemas.microsoft.com/office/2006/metadata/properties" xmlns:ns3="ff65183b-ce1b-4a3f-80c1-f893b1e00171" xmlns:ns4="006471a6-3bce-4102-88f1-b3af5d30896e" targetNamespace="http://schemas.microsoft.com/office/2006/metadata/properties" ma:root="true" ma:fieldsID="a1309ebba9cb5a5eb7dc941b27938d3a" ns3:_="" ns4:_="">
    <xsd:import namespace="ff65183b-ce1b-4a3f-80c1-f893b1e00171"/>
    <xsd:import namespace="006471a6-3bce-4102-88f1-b3af5d30896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65183b-ce1b-4a3f-80c1-f893b1e001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471a6-3bce-4102-88f1-b3af5d30896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6DD63A-1E12-4405-A4FB-5314F2021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65183b-ce1b-4a3f-80c1-f893b1e00171"/>
    <ds:schemaRef ds:uri="006471a6-3bce-4102-88f1-b3af5d3089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233ECA-AFFF-4701-9D33-B633663531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C9E2BF-AC05-4CBA-B924-B8EFF16B9C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1260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8803</CharactersWithSpaces>
  <SharedDoc>false</SharedDoc>
  <HLinks>
    <vt:vector size="6" baseType="variant">
      <vt:variant>
        <vt:i4>6881378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https://www.gov.pl/web/krmc/rekomendacje-dot-udzielania-zamowien-publicznych-na-dostawe-zestawow-komputerowych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Trybusz Michał</cp:lastModifiedBy>
  <cp:revision>2</cp:revision>
  <dcterms:created xsi:type="dcterms:W3CDTF">2021-01-28T21:18:00Z</dcterms:created>
  <dcterms:modified xsi:type="dcterms:W3CDTF">2021-01-28T21:18:00Z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0x0101002FE4F71DE97CC04886451467B1BEF052</vt:lpwstr>
  </property>
</Properties>
</file>